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1CC" w:rsidRPr="002F2263" w:rsidRDefault="002E61CC" w:rsidP="002E61CC">
      <w:pPr>
        <w:tabs>
          <w:tab w:val="left" w:pos="5760"/>
        </w:tabs>
        <w:rPr>
          <w:rFonts w:ascii="Garamond" w:hAnsi="Garamond"/>
          <w:szCs w:val="24"/>
        </w:rPr>
      </w:pPr>
      <w:r w:rsidRPr="002F2263">
        <w:rPr>
          <w:rFonts w:ascii="Garamond" w:hAnsi="Garamond"/>
          <w:szCs w:val="24"/>
        </w:rPr>
        <w:t>Submitted by:</w:t>
      </w:r>
      <w:r>
        <w:rPr>
          <w:rFonts w:ascii="Garamond" w:hAnsi="Garamond"/>
          <w:szCs w:val="24"/>
        </w:rPr>
        <w:t xml:space="preserve"> ACBL Management</w:t>
      </w:r>
      <w:r w:rsidRPr="002F2263">
        <w:rPr>
          <w:rFonts w:ascii="Garamond" w:hAnsi="Garamond"/>
          <w:szCs w:val="24"/>
        </w:rPr>
        <w:tab/>
        <w:t xml:space="preserve">Date: </w:t>
      </w:r>
      <w:r>
        <w:rPr>
          <w:rFonts w:ascii="Garamond" w:hAnsi="Garamond"/>
          <w:szCs w:val="24"/>
        </w:rPr>
        <w:t>10/18/17</w:t>
      </w:r>
    </w:p>
    <w:p w:rsidR="002E61CC" w:rsidRPr="002F2263" w:rsidRDefault="002E61CC" w:rsidP="002E61CC">
      <w:pPr>
        <w:rPr>
          <w:rFonts w:ascii="Garamond" w:hAnsi="Garamond"/>
          <w:szCs w:val="24"/>
        </w:rPr>
      </w:pPr>
    </w:p>
    <w:p w:rsidR="002E61CC" w:rsidRDefault="002E61CC" w:rsidP="002E61CC">
      <w:pPr>
        <w:rPr>
          <w:rFonts w:ascii="Garamond" w:hAnsi="Garamond"/>
          <w:szCs w:val="24"/>
        </w:rPr>
      </w:pPr>
      <w:r w:rsidRPr="002F2263">
        <w:rPr>
          <w:rFonts w:ascii="Garamond" w:hAnsi="Garamond"/>
          <w:szCs w:val="24"/>
        </w:rPr>
        <w:t xml:space="preserve">Item </w:t>
      </w:r>
      <w:r>
        <w:rPr>
          <w:rFonts w:ascii="Garamond" w:hAnsi="Garamond"/>
          <w:szCs w:val="24"/>
        </w:rPr>
        <w:t>173 – Adjustments to the Spring NABC Schedule</w:t>
      </w:r>
    </w:p>
    <w:p w:rsidR="002E61CC" w:rsidRPr="002F2263" w:rsidRDefault="002E61CC" w:rsidP="002E61CC">
      <w:pPr>
        <w:rPr>
          <w:rFonts w:ascii="Garamond" w:hAnsi="Garamond"/>
          <w:szCs w:val="24"/>
        </w:rPr>
      </w:pPr>
    </w:p>
    <w:p w:rsidR="002E61CC" w:rsidRPr="002E61CC" w:rsidRDefault="002E61CC" w:rsidP="002E61CC">
      <w:pPr>
        <w:rPr>
          <w:rFonts w:ascii="Garamond" w:hAnsi="Garamond"/>
          <w:szCs w:val="24"/>
        </w:rPr>
      </w:pPr>
      <w:r w:rsidRPr="002E61CC">
        <w:rPr>
          <w:rFonts w:ascii="Garamond" w:hAnsi="Garamond"/>
          <w:szCs w:val="24"/>
        </w:rPr>
        <w:t>Moved that the following changes be made to the Spring NABC schedule:</w:t>
      </w:r>
    </w:p>
    <w:p w:rsidR="002E61CC" w:rsidRPr="002E61CC" w:rsidRDefault="002E61CC" w:rsidP="002E61CC">
      <w:pPr>
        <w:rPr>
          <w:rFonts w:ascii="Garamond" w:hAnsi="Garamond"/>
          <w:szCs w:val="24"/>
        </w:rPr>
      </w:pPr>
    </w:p>
    <w:p w:rsidR="002E61CC" w:rsidRPr="002E61CC" w:rsidRDefault="002E61CC" w:rsidP="002E61CC">
      <w:pPr>
        <w:pStyle w:val="ListParagraph"/>
        <w:numPr>
          <w:ilvl w:val="0"/>
          <w:numId w:val="2"/>
        </w:numPr>
        <w:rPr>
          <w:rFonts w:ascii="Garamond" w:hAnsi="Garamond"/>
          <w:szCs w:val="24"/>
        </w:rPr>
      </w:pPr>
      <w:r w:rsidRPr="002E61CC">
        <w:rPr>
          <w:rFonts w:ascii="Garamond" w:hAnsi="Garamond"/>
          <w:szCs w:val="24"/>
        </w:rPr>
        <w:t xml:space="preserve">The </w:t>
      </w:r>
      <w:proofErr w:type="spellStart"/>
      <w:r w:rsidRPr="002E61CC">
        <w:rPr>
          <w:rFonts w:ascii="Garamond" w:hAnsi="Garamond"/>
          <w:szCs w:val="24"/>
        </w:rPr>
        <w:t>Lebhar</w:t>
      </w:r>
      <w:proofErr w:type="spellEnd"/>
      <w:r w:rsidRPr="002E61CC">
        <w:rPr>
          <w:rFonts w:ascii="Garamond" w:hAnsi="Garamond"/>
          <w:szCs w:val="24"/>
        </w:rPr>
        <w:t xml:space="preserve"> IMP Pairs will move from the first Friday and Saturday to the first Sunday and Monday, and,</w:t>
      </w:r>
    </w:p>
    <w:p w:rsidR="002E61CC" w:rsidRPr="002E61CC" w:rsidRDefault="002E61CC" w:rsidP="002E61CC">
      <w:pPr>
        <w:pStyle w:val="ListParagraph"/>
        <w:rPr>
          <w:rFonts w:ascii="Garamond" w:hAnsi="Garamond"/>
          <w:szCs w:val="24"/>
        </w:rPr>
      </w:pPr>
    </w:p>
    <w:p w:rsidR="002E61CC" w:rsidRDefault="002E61CC" w:rsidP="002E61CC">
      <w:pPr>
        <w:pStyle w:val="ListParagraph"/>
        <w:numPr>
          <w:ilvl w:val="0"/>
          <w:numId w:val="2"/>
        </w:numPr>
        <w:rPr>
          <w:rFonts w:ascii="Garamond" w:hAnsi="Garamond"/>
          <w:szCs w:val="24"/>
        </w:rPr>
      </w:pPr>
      <w:r w:rsidRPr="002E61CC">
        <w:rPr>
          <w:rFonts w:ascii="Garamond" w:hAnsi="Garamond"/>
          <w:szCs w:val="24"/>
        </w:rPr>
        <w:t>A new NABC Open Pairs event will be played the first Friday and Saturday. Conditions of contest for this event will be the same as for other four-session open pair events. An event name is to be determined.</w:t>
      </w:r>
    </w:p>
    <w:p w:rsidR="002E61CC" w:rsidRPr="002E61CC" w:rsidRDefault="002E61CC" w:rsidP="002E61CC">
      <w:pPr>
        <w:rPr>
          <w:rFonts w:ascii="Garamond" w:hAnsi="Garamond"/>
          <w:szCs w:val="24"/>
        </w:rPr>
      </w:pPr>
    </w:p>
    <w:p w:rsidR="002E61CC" w:rsidRPr="002F2263" w:rsidRDefault="002E61CC" w:rsidP="002E61CC">
      <w:pPr>
        <w:rPr>
          <w:rFonts w:ascii="Garamond" w:hAnsi="Garamond"/>
          <w:szCs w:val="24"/>
        </w:rPr>
      </w:pPr>
      <w:r w:rsidRPr="002F2263">
        <w:rPr>
          <w:rFonts w:ascii="Garamond" w:hAnsi="Garamond"/>
          <w:szCs w:val="24"/>
        </w:rPr>
        <w:t>Effective date:</w:t>
      </w:r>
      <w:r>
        <w:rPr>
          <w:rFonts w:ascii="Garamond" w:hAnsi="Garamond"/>
          <w:szCs w:val="24"/>
        </w:rPr>
        <w:t xml:space="preserve"> Immediately </w:t>
      </w:r>
    </w:p>
    <w:p w:rsidR="002E61CC" w:rsidRPr="002F2263" w:rsidRDefault="002E61CC" w:rsidP="002E61CC">
      <w:pPr>
        <w:rPr>
          <w:rFonts w:ascii="Garamond" w:hAnsi="Garamond"/>
          <w:szCs w:val="24"/>
        </w:rPr>
      </w:pPr>
      <w:r w:rsidRPr="002F2263">
        <w:rPr>
          <w:rFonts w:ascii="Garamond" w:hAnsi="Garamond"/>
          <w:szCs w:val="24"/>
        </w:rPr>
        <w:t>Estimated cost/savings:</w:t>
      </w:r>
    </w:p>
    <w:p w:rsidR="002E61CC" w:rsidRPr="002F2263" w:rsidRDefault="002E61CC" w:rsidP="002E61CC">
      <w:pPr>
        <w:rPr>
          <w:rFonts w:ascii="Garamond" w:hAnsi="Garamond"/>
          <w:b/>
          <w:szCs w:val="24"/>
        </w:rPr>
      </w:pPr>
      <w:r w:rsidRPr="002F2263">
        <w:rPr>
          <w:rFonts w:ascii="Garamond" w:hAnsi="Garamond"/>
          <w:b/>
          <w:szCs w:val="24"/>
        </w:rPr>
        <w:t>History:</w:t>
      </w:r>
    </w:p>
    <w:p w:rsidR="002E61CC" w:rsidRPr="002F2263" w:rsidRDefault="002E61CC" w:rsidP="002E61CC">
      <w:pPr>
        <w:rPr>
          <w:rFonts w:ascii="Garamond" w:hAnsi="Garamond"/>
          <w:b/>
          <w:szCs w:val="24"/>
        </w:rPr>
      </w:pPr>
    </w:p>
    <w:p w:rsidR="002E61CC" w:rsidRPr="002F2263" w:rsidRDefault="002E61CC" w:rsidP="002E61CC">
      <w:pPr>
        <w:rPr>
          <w:rFonts w:ascii="Garamond" w:hAnsi="Garamond"/>
          <w:szCs w:val="24"/>
        </w:rPr>
      </w:pPr>
      <w:r w:rsidRPr="002F2263">
        <w:rPr>
          <w:rFonts w:ascii="Garamond" w:hAnsi="Garamond"/>
          <w:szCs w:val="24"/>
        </w:rPr>
        <w:t>Committee:</w:t>
      </w:r>
    </w:p>
    <w:p w:rsidR="002E61CC" w:rsidRPr="002F2263" w:rsidRDefault="002E61CC" w:rsidP="002E61CC">
      <w:pPr>
        <w:rPr>
          <w:rFonts w:ascii="Garamond" w:hAnsi="Garamond"/>
          <w:szCs w:val="24"/>
        </w:rPr>
      </w:pPr>
    </w:p>
    <w:p w:rsidR="002E61CC" w:rsidRPr="002F2263" w:rsidRDefault="002E61CC" w:rsidP="002E61CC">
      <w:pPr>
        <w:pBdr>
          <w:top w:val="double" w:sz="4" w:space="0" w:color="auto"/>
          <w:bottom w:val="double" w:sz="4" w:space="1" w:color="auto"/>
        </w:pBdr>
        <w:rPr>
          <w:rFonts w:ascii="Garamond" w:hAnsi="Garamond"/>
          <w:szCs w:val="24"/>
        </w:rPr>
      </w:pPr>
      <w:r w:rsidRPr="002F2263">
        <w:rPr>
          <w:rFonts w:ascii="Garamond" w:hAnsi="Garamond"/>
          <w:szCs w:val="24"/>
        </w:rPr>
        <w:t>Committee Recommends (ONLY CHECK ONE BOX):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8388"/>
      </w:tblGrid>
      <w:tr w:rsidR="002E61CC" w:rsidRPr="002F2263" w:rsidTr="00F060F4">
        <w:tc>
          <w:tcPr>
            <w:tcW w:w="360" w:type="dxa"/>
            <w:tcBorders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</w:p>
        </w:tc>
        <w:tc>
          <w:tcPr>
            <w:tcW w:w="8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  <w:r w:rsidRPr="002F2263">
              <w:rPr>
                <w:rFonts w:ascii="Garamond" w:hAnsi="Garamond"/>
                <w:szCs w:val="24"/>
              </w:rPr>
              <w:t>Decision on motion</w:t>
            </w:r>
          </w:p>
        </w:tc>
      </w:tr>
      <w:tr w:rsidR="002E61CC" w:rsidRPr="002F2263" w:rsidTr="00F060F4">
        <w:tc>
          <w:tcPr>
            <w:tcW w:w="360" w:type="dxa"/>
            <w:tcBorders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</w:p>
        </w:tc>
        <w:tc>
          <w:tcPr>
            <w:tcW w:w="8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  <w:r w:rsidRPr="002F2263">
              <w:rPr>
                <w:rFonts w:ascii="Garamond" w:hAnsi="Garamond"/>
                <w:szCs w:val="24"/>
              </w:rPr>
              <w:t>Decision on motion as revised</w:t>
            </w:r>
          </w:p>
        </w:tc>
      </w:tr>
      <w:tr w:rsidR="002E61CC" w:rsidRPr="002F2263" w:rsidTr="00F060F4">
        <w:tc>
          <w:tcPr>
            <w:tcW w:w="360" w:type="dxa"/>
            <w:tcBorders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</w:p>
        </w:tc>
        <w:tc>
          <w:tcPr>
            <w:tcW w:w="8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  <w:r w:rsidRPr="002F2263">
              <w:rPr>
                <w:rFonts w:ascii="Garamond" w:hAnsi="Garamond"/>
                <w:szCs w:val="24"/>
              </w:rPr>
              <w:t>Motion withdrawn</w:t>
            </w:r>
          </w:p>
        </w:tc>
      </w:tr>
      <w:tr w:rsidR="002E61CC" w:rsidRPr="002F2263" w:rsidTr="00F060F4">
        <w:tc>
          <w:tcPr>
            <w:tcW w:w="360" w:type="dxa"/>
            <w:tcBorders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</w:p>
        </w:tc>
        <w:tc>
          <w:tcPr>
            <w:tcW w:w="8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  <w:r w:rsidRPr="002F2263">
              <w:rPr>
                <w:rFonts w:ascii="Garamond" w:hAnsi="Garamond"/>
                <w:szCs w:val="24"/>
              </w:rPr>
              <w:t xml:space="preserve">Deferral to  </w:t>
            </w:r>
            <w:r w:rsidRPr="002F2263">
              <w:rPr>
                <w:rFonts w:ascii="Garamond" w:hAnsi="Garamond"/>
                <w:szCs w:val="24"/>
                <w:u w:val="single"/>
              </w:rPr>
              <w:t xml:space="preserve">                                            </w:t>
            </w:r>
            <w:r w:rsidRPr="002F2263">
              <w:rPr>
                <w:rFonts w:ascii="Garamond" w:hAnsi="Garamond"/>
                <w:szCs w:val="24"/>
              </w:rPr>
              <w:t xml:space="preserve"> </w:t>
            </w:r>
            <w:proofErr w:type="gramStart"/>
            <w:r w:rsidRPr="002F2263">
              <w:rPr>
                <w:rFonts w:ascii="Garamond" w:hAnsi="Garamond"/>
                <w:szCs w:val="24"/>
              </w:rPr>
              <w:t xml:space="preserve">meeting,  </w:t>
            </w:r>
            <w:r w:rsidRPr="002F2263">
              <w:rPr>
                <w:rFonts w:ascii="Garamond" w:hAnsi="Garamond"/>
                <w:szCs w:val="24"/>
                <w:u w:val="single"/>
              </w:rPr>
              <w:t xml:space="preserve"> </w:t>
            </w:r>
            <w:proofErr w:type="gramEnd"/>
            <w:r w:rsidRPr="002F2263">
              <w:rPr>
                <w:rFonts w:ascii="Garamond" w:hAnsi="Garamond"/>
                <w:szCs w:val="24"/>
                <w:u w:val="single"/>
              </w:rPr>
              <w:t xml:space="preserve">                           </w:t>
            </w:r>
            <w:r w:rsidRPr="002F2263">
              <w:rPr>
                <w:rFonts w:ascii="Garamond" w:hAnsi="Garamond"/>
                <w:szCs w:val="24"/>
              </w:rPr>
              <w:t>year.</w:t>
            </w:r>
          </w:p>
        </w:tc>
      </w:tr>
    </w:tbl>
    <w:p w:rsidR="002E61CC" w:rsidRPr="002F2263" w:rsidRDefault="002E61CC" w:rsidP="002E61CC">
      <w:pPr>
        <w:pBdr>
          <w:top w:val="double" w:sz="4" w:space="0" w:color="auto"/>
        </w:pBdr>
        <w:rPr>
          <w:rFonts w:ascii="Garamond" w:hAnsi="Garamond"/>
          <w:szCs w:val="24"/>
        </w:rPr>
      </w:pPr>
      <w:r w:rsidRPr="002F2263">
        <w:rPr>
          <w:rFonts w:ascii="Garamond" w:hAnsi="Garamond"/>
          <w:szCs w:val="24"/>
        </w:rPr>
        <w:t>Committee vote: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"/>
        <w:gridCol w:w="531"/>
        <w:gridCol w:w="1530"/>
        <w:gridCol w:w="540"/>
        <w:gridCol w:w="1260"/>
        <w:gridCol w:w="540"/>
        <w:gridCol w:w="2610"/>
        <w:gridCol w:w="630"/>
      </w:tblGrid>
      <w:tr w:rsidR="002E61CC" w:rsidRPr="002F2263" w:rsidTr="00F060F4">
        <w:tc>
          <w:tcPr>
            <w:tcW w:w="999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  <w:r w:rsidRPr="002F2263">
              <w:rPr>
                <w:rFonts w:ascii="Garamond" w:hAnsi="Garamond"/>
                <w:szCs w:val="24"/>
              </w:rPr>
              <w:t>For</w:t>
            </w:r>
          </w:p>
        </w:tc>
        <w:tc>
          <w:tcPr>
            <w:tcW w:w="53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jc w:val="center"/>
              <w:rPr>
                <w:rFonts w:ascii="Garamond" w:hAnsi="Garamond"/>
                <w:szCs w:val="24"/>
              </w:rPr>
            </w:pPr>
            <w:r w:rsidRPr="002F2263">
              <w:rPr>
                <w:rFonts w:ascii="Garamond" w:hAnsi="Garamond"/>
                <w:szCs w:val="24"/>
              </w:rPr>
              <w:t>Against</w:t>
            </w:r>
          </w:p>
        </w:tc>
        <w:tc>
          <w:tcPr>
            <w:tcW w:w="54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jc w:val="center"/>
              <w:rPr>
                <w:rFonts w:ascii="Garamond" w:hAnsi="Garamond"/>
                <w:szCs w:val="24"/>
              </w:rPr>
            </w:pPr>
            <w:r w:rsidRPr="002F2263">
              <w:rPr>
                <w:rFonts w:ascii="Garamond" w:hAnsi="Garamond"/>
                <w:szCs w:val="24"/>
              </w:rPr>
              <w:t>Abstain</w:t>
            </w:r>
          </w:p>
        </w:tc>
        <w:tc>
          <w:tcPr>
            <w:tcW w:w="54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jc w:val="center"/>
              <w:rPr>
                <w:rFonts w:ascii="Garamond" w:hAnsi="Garamond"/>
                <w:szCs w:val="24"/>
              </w:rPr>
            </w:pPr>
            <w:r w:rsidRPr="002F2263">
              <w:rPr>
                <w:rFonts w:ascii="Garamond" w:hAnsi="Garamond"/>
                <w:szCs w:val="24"/>
              </w:rPr>
              <w:t>Consent Calendar</w:t>
            </w:r>
          </w:p>
        </w:tc>
        <w:tc>
          <w:tcPr>
            <w:tcW w:w="630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2E61CC" w:rsidRPr="002F2263" w:rsidRDefault="002E61CC" w:rsidP="00F060F4">
            <w:pPr>
              <w:rPr>
                <w:rFonts w:ascii="Garamond" w:hAnsi="Garamond"/>
                <w:szCs w:val="24"/>
              </w:rPr>
            </w:pPr>
          </w:p>
        </w:tc>
      </w:tr>
    </w:tbl>
    <w:p w:rsidR="002E61CC" w:rsidRPr="002F2263" w:rsidRDefault="002E61CC" w:rsidP="002E61CC">
      <w:pPr>
        <w:rPr>
          <w:rFonts w:ascii="Garamond" w:hAnsi="Garamond"/>
          <w:szCs w:val="24"/>
        </w:rPr>
      </w:pPr>
      <w:r w:rsidRPr="002F2263">
        <w:rPr>
          <w:rFonts w:ascii="Garamond" w:hAnsi="Garamond"/>
          <w:szCs w:val="24"/>
        </w:rPr>
        <w:tab/>
      </w:r>
    </w:p>
    <w:p w:rsidR="002E61CC" w:rsidRPr="002F2263" w:rsidRDefault="002E61CC" w:rsidP="002E61CC">
      <w:pPr>
        <w:rPr>
          <w:rFonts w:ascii="Garamond" w:hAnsi="Garamond"/>
          <w:szCs w:val="24"/>
        </w:rPr>
      </w:pPr>
      <w:r w:rsidRPr="002F2263">
        <w:rPr>
          <w:rFonts w:ascii="Garamond" w:hAnsi="Garamond"/>
          <w:szCs w:val="24"/>
        </w:rPr>
        <w:lastRenderedPageBreak/>
        <w:t>Discussion:</w:t>
      </w:r>
    </w:p>
    <w:p w:rsidR="009441AA" w:rsidRPr="002E61CC" w:rsidRDefault="002E61CC" w:rsidP="009441AA">
      <w:pPr>
        <w:rPr>
          <w:rFonts w:ascii="Garamond" w:hAnsi="Garamond"/>
          <w:szCs w:val="24"/>
        </w:rPr>
      </w:pPr>
      <w:r w:rsidRPr="002E61CC">
        <w:rPr>
          <w:rFonts w:ascii="Garamond" w:hAnsi="Garamond"/>
          <w:szCs w:val="24"/>
        </w:rPr>
        <w:t>These changes are to</w:t>
      </w:r>
      <w:r w:rsidR="00035BE0" w:rsidRPr="002E61CC">
        <w:rPr>
          <w:rFonts w:ascii="Garamond" w:hAnsi="Garamond"/>
          <w:szCs w:val="24"/>
        </w:rPr>
        <w:t xml:space="preserve"> address the lack of open NABC events on some days of the Spring NABC. The IMP Pairs becomes the open alternative to the Senior event on the first Sunday</w:t>
      </w:r>
      <w:bookmarkStart w:id="0" w:name="_GoBack"/>
      <w:bookmarkEnd w:id="0"/>
      <w:r w:rsidR="00035BE0" w:rsidRPr="002E61CC">
        <w:rPr>
          <w:rFonts w:ascii="Garamond" w:hAnsi="Garamond"/>
          <w:szCs w:val="24"/>
        </w:rPr>
        <w:t xml:space="preserve"> and the new Open Pairs event replaces the IMP Pairs as the alternative to the Platinum Pairs the first Friday.</w:t>
      </w:r>
    </w:p>
    <w:p w:rsidR="00035BE0" w:rsidRDefault="00035BE0" w:rsidP="009441AA"/>
    <w:sectPr w:rsidR="00035B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3593F"/>
    <w:multiLevelType w:val="hybridMultilevel"/>
    <w:tmpl w:val="10DE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243C89"/>
    <w:multiLevelType w:val="hybridMultilevel"/>
    <w:tmpl w:val="2BE4537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1AA"/>
    <w:rsid w:val="00035BE0"/>
    <w:rsid w:val="000A5DC7"/>
    <w:rsid w:val="002E61CC"/>
    <w:rsid w:val="004D01C4"/>
    <w:rsid w:val="009441AA"/>
    <w:rsid w:val="00F8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84AA8"/>
  <w15:chartTrackingRefBased/>
  <w15:docId w15:val="{55117AB6-B18C-4E09-9709-590A65A9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002060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 Weinstein</dc:creator>
  <cp:keywords/>
  <dc:description/>
  <cp:lastModifiedBy>Gary Blevins</cp:lastModifiedBy>
  <cp:revision>3</cp:revision>
  <dcterms:created xsi:type="dcterms:W3CDTF">2017-10-11T13:41:00Z</dcterms:created>
  <dcterms:modified xsi:type="dcterms:W3CDTF">2017-10-11T13:44:00Z</dcterms:modified>
</cp:coreProperties>
</file>